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ALEYDA MEJIA CARDONA</w:t>
      </w:r>
    </w:p>
    <w:p>
      <w:pPr>
        <w:pStyle w:val="Normal"/>
        <w:rPr/>
      </w:pPr>
      <w:r>
        <w:rPr>
          <w:rStyle w:val="EnlacedeInternet"/>
          <w:rFonts w:ascii="Arial" w:hAnsi="Arial"/>
          <w:color w:val="auto"/>
          <w:u w:val="none"/>
        </w:rPr>
        <w:t>Amejiac2001</w:t>
      </w:r>
      <w:r>
        <w:rPr>
          <w:rStyle w:val="EnlacedeInternet"/>
          <w:rFonts w:cs="Arial" w:ascii="Arial" w:hAnsi="Arial"/>
          <w:color w:val="auto"/>
          <w:u w:val="none"/>
        </w:rPr>
        <w:t>@yahoo.com</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Asunto: Respuesta a  </w:t>
      </w:r>
      <w:r>
        <w:rPr>
          <w:rFonts w:cs="Arial" w:ascii="Arial" w:hAnsi="Arial"/>
        </w:rPr>
        <w:t xml:space="preserve">traslado por competencia_ </w:t>
      </w:r>
      <w:r>
        <w:rPr>
          <w:rFonts w:cs="Arial" w:ascii="Arial" w:hAnsi="Arial"/>
        </w:rPr>
        <w:t xml:space="preserve">derecho de petición de información Angélica </w:t>
      </w:r>
      <w:r>
        <w:rPr>
          <w:rFonts w:cs="Arial" w:ascii="Arial" w:hAnsi="Arial"/>
        </w:rPr>
        <w:t>M</w:t>
      </w:r>
      <w:r>
        <w:rPr>
          <w:rFonts w:cs="Arial" w:ascii="Arial" w:hAnsi="Arial"/>
        </w:rPr>
        <w:t xml:space="preserve">aría </w:t>
      </w:r>
      <w:r>
        <w:rPr>
          <w:rFonts w:cs="Arial" w:ascii="Arial" w:hAnsi="Arial"/>
        </w:rPr>
        <w:t>C</w:t>
      </w:r>
      <w:r>
        <w:rPr>
          <w:rFonts w:cs="Arial" w:ascii="Arial" w:hAnsi="Arial"/>
        </w:rPr>
        <w:t xml:space="preserve">riollo </w:t>
      </w:r>
      <w:r>
        <w:rPr>
          <w:rFonts w:cs="Arial" w:ascii="Arial" w:hAnsi="Arial"/>
        </w:rPr>
        <w:t>F</w:t>
      </w:r>
      <w:r>
        <w:rPr>
          <w:rFonts w:cs="Arial" w:ascii="Arial" w:hAnsi="Arial"/>
        </w:rPr>
        <w:t>ranco.</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 xml:space="preserve">Con el objetivo de dar respuesta a la solicitud </w:t>
      </w:r>
      <w:r>
        <w:rPr>
          <w:rFonts w:cs="Arial" w:ascii="Arial" w:hAnsi="Arial"/>
        </w:rPr>
        <w:t xml:space="preserve">radicada No. </w:t>
        <w:tab/>
        <w:t>202441730102590102</w:t>
      </w:r>
      <w:r>
        <w:rPr>
          <w:rFonts w:cs="Arial" w:ascii="Arial" w:hAnsi="Arial"/>
        </w:rPr>
        <w:t xml:space="preserve"> de información realizada, a continuación se da respuesta a cada uno de los interrogantes planteados:</w:t>
      </w:r>
    </w:p>
    <w:p>
      <w:pPr>
        <w:pStyle w:val="Normal"/>
        <w:jc w:val="both"/>
        <w:rPr>
          <w:rFonts w:ascii="Arial" w:hAnsi="Arial" w:cs="Arial"/>
        </w:rPr>
      </w:pPr>
      <w:r>
        <w:rPr>
          <w:rFonts w:cs="Arial" w:ascii="Arial" w:hAnsi="Arial"/>
        </w:rPr>
      </w:r>
    </w:p>
    <w:p>
      <w:pPr>
        <w:pStyle w:val="NormalWeb"/>
        <w:numPr>
          <w:ilvl w:val="0"/>
          <w:numId w:val="1"/>
        </w:numPr>
        <w:spacing w:before="0" w:after="0"/>
        <w:jc w:val="both"/>
        <w:rPr>
          <w:rFonts w:ascii="Arial" w:hAnsi="Arial" w:cs="Arial"/>
          <w:lang w:val="es-ES"/>
        </w:rPr>
      </w:pPr>
      <w:r>
        <w:rPr>
          <w:rFonts w:cs="Arial" w:ascii="Arial" w:hAnsi="Arial"/>
        </w:rPr>
        <w:t>¿En cuantas oportunidades la SECRETARIA DE SALUD PÚBLICA realizó campañas masivas preventivas de capacitación, anteriores al 2 de junio de 2024, mediante las cuales se informó a los hospitales y clínicas, cuál debe ser el manejo de la infección por DENGUE? ¿En qué consistieron dichas campañas y en que fechas se realizaron?</w:t>
      </w:r>
    </w:p>
    <w:p>
      <w:pPr>
        <w:pStyle w:val="NormalWeb"/>
        <w:spacing w:before="0" w:after="0"/>
        <w:jc w:val="both"/>
        <w:rPr>
          <w:rFonts w:ascii="Arial" w:hAnsi="Arial" w:cs="Arial"/>
          <w:lang w:val="es-ES"/>
        </w:rPr>
      </w:pPr>
      <w:r>
        <w:rPr>
          <w:rFonts w:cs="Arial" w:ascii="Arial" w:hAnsi="Arial"/>
          <w:lang w:val="es-ES"/>
        </w:rPr>
      </w:r>
    </w:p>
    <w:p>
      <w:pPr>
        <w:pStyle w:val="NormalWeb"/>
        <w:spacing w:before="0" w:after="0"/>
        <w:jc w:val="both"/>
        <w:rPr>
          <w:rFonts w:ascii="Arial" w:hAnsi="Arial" w:cs="Arial"/>
          <w:lang w:val="es-ES"/>
        </w:rPr>
      </w:pPr>
      <w:r>
        <w:rPr>
          <w:rFonts w:cs="Arial" w:ascii="Arial" w:hAnsi="Arial"/>
          <w:lang w:val="es-ES"/>
        </w:rPr>
        <w:t xml:space="preserve">Durante el 2024, teniendo en cuenta el contexto de la epidemia por dengue se realizó intensificación en las acciones de vigilancia epidemiológica es por ello que se realizó durante el primer semestre del 2024 el total de 18 asistencias técnicas iniciales y se realizaron 24 seguimientos a compromisos. Además, se llevaron a cabo 7 comités de vigilancia epidemiológica ordinarios y dos extraordinarios con las UPGD y EAPB. </w:t>
      </w:r>
    </w:p>
    <w:p>
      <w:pPr>
        <w:pStyle w:val="NormalWeb"/>
        <w:spacing w:before="0" w:after="0"/>
        <w:jc w:val="both"/>
        <w:rPr>
          <w:rFonts w:ascii="Arial" w:hAnsi="Arial" w:cs="Arial"/>
          <w:lang w:val="es-ES"/>
        </w:rPr>
      </w:pPr>
      <w:r>
        <w:rPr>
          <w:rFonts w:cs="Arial" w:ascii="Arial" w:hAnsi="Arial"/>
          <w:lang w:val="es-ES"/>
        </w:rPr>
      </w:r>
    </w:p>
    <w:p>
      <w:pPr>
        <w:pStyle w:val="NormalWeb"/>
        <w:spacing w:before="0" w:after="0"/>
        <w:jc w:val="both"/>
        <w:rPr>
          <w:rFonts w:ascii="Arial" w:hAnsi="Arial" w:cs="Arial"/>
          <w:lang w:val="es-ES"/>
        </w:rPr>
      </w:pPr>
      <w:r>
        <w:rPr>
          <w:rFonts w:cs="Arial" w:ascii="Arial" w:hAnsi="Arial"/>
          <w:lang w:val="es-ES"/>
        </w:rPr>
        <w:t>Dentro de las asistencias, se revisaron aspectos de muestras de laboratorio, diagnóstico y clasificación del dengue, ajustes de casos y resultados de muestras de casos probables. Se revisó el comportamiento epidemiológico en el cual se hizo énfasis en la clasificación, panorama nacional, incidencia, características generales de los casos de dengue, letalidad, tasas de mortalidad, variación del número de casos por semana, comparación entre ciudad/distrito, proporción de casos probables, proporción de casos de dengue grave hospitalizados, proporción de casos de dengue con signos de alarma hospitalizados, número de casos por barrio, incidencia por barrio, comuna.</w:t>
      </w:r>
    </w:p>
    <w:p>
      <w:pPr>
        <w:pStyle w:val="NormalWeb"/>
        <w:spacing w:before="0" w:after="0"/>
        <w:jc w:val="both"/>
        <w:rPr>
          <w:rFonts w:ascii="Arial" w:hAnsi="Arial" w:cs="Arial"/>
          <w:lang w:val="es-ES"/>
        </w:rPr>
      </w:pPr>
      <w:r>
        <w:rPr/>
      </w:r>
    </w:p>
    <w:p>
      <w:pPr>
        <w:pStyle w:val="Normal"/>
        <w:bidi w:val="0"/>
        <w:spacing w:before="0" w:after="283"/>
        <w:rPr>
          <w:rFonts w:ascii="Arial" w:hAnsi="Arial"/>
        </w:rPr>
      </w:pPr>
      <w:r>
        <w:rPr>
          <w:rFonts w:ascii="Arial" w:hAnsi="Arial"/>
        </w:rPr>
        <w:t>A continuación se muestran las acciones de control de vectores realizadas en el entorno de la Fundación Clínica Infantil Club Noel en el año 2024.</w:t>
      </w:r>
    </w:p>
    <w:p>
      <w:pPr>
        <w:pStyle w:val="Cuerpodetexto"/>
        <w:numPr>
          <w:ilvl w:val="0"/>
          <w:numId w:val="2"/>
        </w:numPr>
        <w:tabs>
          <w:tab w:val="clear" w:pos="709"/>
          <w:tab w:val="left" w:pos="0" w:leader="none"/>
        </w:tabs>
        <w:bidi w:val="0"/>
        <w:ind w:left="932" w:right="0" w:hanging="283"/>
        <w:rPr>
          <w:rFonts w:ascii="Arial" w:hAnsi="Arial"/>
        </w:rPr>
      </w:pPr>
      <w:r>
        <w:rPr>
          <w:rFonts w:ascii="Arial" w:hAnsi="Arial"/>
        </w:rPr>
        <w:t>Visita Equipo Concentraciones Humanas</w:t>
      </w:r>
    </w:p>
    <w:tbl>
      <w:tblPr>
        <w:tblW w:w="6630" w:type="dxa"/>
        <w:jc w:val="left"/>
        <w:tblInd w:w="0" w:type="dxa"/>
        <w:tblLayout w:type="fixed"/>
        <w:tblCellMar>
          <w:top w:w="0" w:type="dxa"/>
          <w:left w:w="0" w:type="dxa"/>
          <w:bottom w:w="28" w:type="dxa"/>
          <w:right w:w="0" w:type="dxa"/>
        </w:tblCellMar>
      </w:tblPr>
      <w:tblGrid>
        <w:gridCol w:w="2955"/>
        <w:gridCol w:w="2205"/>
        <w:gridCol w:w="1470"/>
      </w:tblGrid>
      <w:tr>
        <w:trPr>
          <w:trHeight w:val="285" w:hRule="atLeast"/>
        </w:trPr>
        <w:tc>
          <w:tcPr>
            <w:tcW w:w="2955"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Fecha</w:t>
            </w:r>
          </w:p>
        </w:tc>
        <w:tc>
          <w:tcPr>
            <w:tcW w:w="2205" w:type="dxa"/>
            <w:tcBorders>
              <w:bottom w:val="single" w:sz="4" w:space="0" w:color="95B3D7"/>
            </w:tcBorders>
            <w:shd w:fill="DCE6F1" w:val="clear"/>
            <w:vAlign w:val="center"/>
          </w:tcPr>
          <w:p>
            <w:pPr>
              <w:pStyle w:val="Contenidodelatabla"/>
              <w:spacing w:before="0" w:after="0"/>
              <w:ind w:left="0" w:right="0" w:hanging="0"/>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Nombre</w:t>
            </w:r>
          </w:p>
        </w:tc>
        <w:tc>
          <w:tcPr>
            <w:tcW w:w="1470"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Renuente</w:t>
            </w:r>
          </w:p>
        </w:tc>
      </w:tr>
      <w:tr>
        <w:trPr>
          <w:trHeight w:val="285" w:hRule="atLeast"/>
        </w:trPr>
        <w:tc>
          <w:tcPr>
            <w:tcW w:w="2955" w:type="dxa"/>
            <w:tcBorders>
              <w:bottom w:val="single" w:sz="4" w:space="0" w:color="95B3D7"/>
            </w:tcBorders>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21/11/2024</w:t>
            </w:r>
          </w:p>
        </w:tc>
        <w:tc>
          <w:tcPr>
            <w:tcW w:w="2205" w:type="dxa"/>
            <w:tcBorders/>
            <w:tcMar>
              <w:bottom w:w="0" w:type="dxa"/>
            </w:tcMar>
            <w:vAlign w:val="center"/>
          </w:tcPr>
          <w:p>
            <w:pPr>
              <w:pStyle w:val="Contenidodelatabla"/>
              <w:spacing w:before="0" w:after="0"/>
              <w:ind w:left="0" w:right="0" w:hanging="0"/>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Hospital Infantil Club Noel</w:t>
            </w:r>
          </w:p>
        </w:tc>
        <w:tc>
          <w:tcPr>
            <w:tcW w:w="1470" w:type="dxa"/>
            <w:tcBorders/>
            <w:tcMar>
              <w:bottom w:w="0" w:type="dxa"/>
            </w:tcMar>
            <w:vAlign w:val="center"/>
          </w:tcPr>
          <w:p>
            <w:pPr>
              <w:pStyle w:val="Contenidodelatabla"/>
              <w:spacing w:before="0" w:after="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w:t>
            </w:r>
          </w:p>
        </w:tc>
      </w:tr>
    </w:tbl>
    <w:p>
      <w:pPr>
        <w:pStyle w:val="Cuerpodetexto"/>
        <w:rPr/>
      </w:pPr>
      <w:r>
        <w:rPr/>
      </w:r>
    </w:p>
    <w:p>
      <w:pPr>
        <w:pStyle w:val="Cuerpodetexto"/>
        <w:numPr>
          <w:ilvl w:val="0"/>
          <w:numId w:val="3"/>
        </w:numPr>
        <w:tabs>
          <w:tab w:val="clear" w:pos="709"/>
          <w:tab w:val="left" w:pos="0" w:leader="none"/>
        </w:tabs>
        <w:ind w:left="932" w:right="0" w:hanging="283"/>
        <w:rPr>
          <w:rFonts w:ascii="Arial" w:hAnsi="Arial"/>
        </w:rPr>
      </w:pPr>
      <w:r>
        <w:rPr>
          <w:rFonts w:ascii="Arial" w:hAnsi="Arial"/>
        </w:rPr>
        <w:t>Control larvario en sumideros</w:t>
      </w:r>
    </w:p>
    <w:tbl>
      <w:tblPr>
        <w:tblW w:w="9300" w:type="dxa"/>
        <w:jc w:val="left"/>
        <w:tblInd w:w="0" w:type="dxa"/>
        <w:tblLayout w:type="fixed"/>
        <w:tblCellMar>
          <w:top w:w="0" w:type="dxa"/>
          <w:left w:w="0" w:type="dxa"/>
          <w:bottom w:w="28" w:type="dxa"/>
          <w:right w:w="0" w:type="dxa"/>
        </w:tblCellMar>
      </w:tblPr>
      <w:tblGrid>
        <w:gridCol w:w="845"/>
        <w:gridCol w:w="2275"/>
        <w:gridCol w:w="1125"/>
        <w:gridCol w:w="1815"/>
        <w:gridCol w:w="1710"/>
        <w:gridCol w:w="1530"/>
      </w:tblGrid>
      <w:tr>
        <w:trPr>
          <w:trHeight w:val="285" w:hRule="atLeast"/>
        </w:trPr>
        <w:tc>
          <w:tcPr>
            <w:tcW w:w="845"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Comuna</w:t>
            </w:r>
          </w:p>
        </w:tc>
        <w:tc>
          <w:tcPr>
            <w:tcW w:w="2275"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Barrios</w:t>
            </w:r>
          </w:p>
        </w:tc>
        <w:tc>
          <w:tcPr>
            <w:tcW w:w="1125"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Fecha</w:t>
            </w:r>
          </w:p>
        </w:tc>
        <w:tc>
          <w:tcPr>
            <w:tcW w:w="1815"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Total Revisiones A Sumideros</w:t>
            </w:r>
          </w:p>
        </w:tc>
        <w:tc>
          <w:tcPr>
            <w:tcW w:w="1710"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N°Sumideros Tratados</w:t>
            </w:r>
          </w:p>
        </w:tc>
        <w:tc>
          <w:tcPr>
            <w:tcW w:w="1530" w:type="dxa"/>
            <w:tcBorders>
              <w:bottom w:val="single" w:sz="4" w:space="0" w:color="95B3D7"/>
            </w:tcBorders>
            <w:shd w:fill="DCE6F1" w:val="cle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N° Sumideros Con Aedes</w:t>
            </w:r>
          </w:p>
        </w:tc>
      </w:tr>
      <w:tr>
        <w:trPr>
          <w:trHeight w:val="285" w:hRule="atLeast"/>
        </w:trPr>
        <w:tc>
          <w:tcPr>
            <w:tcW w:w="84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w:t>
            </w:r>
          </w:p>
        </w:tc>
        <w:tc>
          <w:tcPr>
            <w:tcW w:w="2275" w:type="dxa"/>
            <w:tcBorders/>
            <w:tcMar>
              <w:bottom w:w="0" w:type="dxa"/>
            </w:tcMar>
            <w:vAlign w:val="center"/>
          </w:tcPr>
          <w:p>
            <w:pPr>
              <w:pStyle w:val="Contenidodelatabla"/>
              <w:spacing w:before="0" w:after="0"/>
              <w:ind w:left="0" w:right="0" w:hanging="0"/>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Peñón - San Antonio - San Cayetano - Libertadores - Nacional</w:t>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05/03/2024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561</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292</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39</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06/04/2024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576</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339</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32</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26/04/2024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639</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363</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23</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22/05/2024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595</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340</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14</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12/06/2024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653</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272</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12</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27/06/2024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569</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268</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15/07/2024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570</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255</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13</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29/07/2024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599</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237</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09/08/2024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488</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231</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11</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22/08/2024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619</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268</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24/09/2024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592</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247</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7</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07/10/2024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589</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340</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9</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24/10/2024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558</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292</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11</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08/11/2024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615</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247</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8</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22/11/2024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591</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252</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11</w:t>
            </w:r>
          </w:p>
        </w:tc>
      </w:tr>
      <w:tr>
        <w:trPr>
          <w:trHeight w:val="285" w:hRule="atLeast"/>
        </w:trPr>
        <w:tc>
          <w:tcPr>
            <w:tcW w:w="845" w:type="dxa"/>
            <w:tcBorders/>
            <w:tcMar>
              <w:bottom w:w="0" w:type="dxa"/>
            </w:tcMar>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04/12/2024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608</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280</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9</w:t>
            </w:r>
          </w:p>
        </w:tc>
      </w:tr>
      <w:tr>
        <w:trPr>
          <w:trHeight w:val="285" w:hRule="atLeast"/>
        </w:trPr>
        <w:tc>
          <w:tcPr>
            <w:tcW w:w="845" w:type="dxa"/>
            <w:tcBorders>
              <w:bottom w:val="single" w:sz="4" w:space="0" w:color="95B3D7"/>
            </w:tcBorders>
            <w:vAlign w:val="center"/>
          </w:tcPr>
          <w:p>
            <w:pPr>
              <w:pStyle w:val="Contenidodelatabla"/>
              <w:ind w:left="0" w:right="0" w:hanging="0"/>
              <w:jc w:val="center"/>
              <w:rPr>
                <w:rFonts w:ascii="Arial" w:hAnsi="Arial"/>
                <w:b w:val="false"/>
                <w:b w:val="false"/>
                <w:bCs w:val="false"/>
                <w:sz w:val="18"/>
                <w:szCs w:val="18"/>
              </w:rPr>
            </w:pPr>
            <w:r>
              <w:rPr>
                <w:rFonts w:ascii="Arial" w:hAnsi="Arial"/>
                <w:b w:val="false"/>
                <w:bCs w:val="false"/>
                <w:sz w:val="18"/>
                <w:szCs w:val="18"/>
              </w:rPr>
            </w:r>
          </w:p>
        </w:tc>
        <w:tc>
          <w:tcPr>
            <w:tcW w:w="2275" w:type="dxa"/>
            <w:tcBorders/>
            <w:tcMar>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cMar>
              <w:bottom w:w="0" w:type="dxa"/>
            </w:tcMar>
            <w:vAlign w:val="center"/>
          </w:tcPr>
          <w:p>
            <w:pPr>
              <w:pStyle w:val="Contenidodelatabla"/>
              <w:spacing w:before="0" w:after="0"/>
              <w:ind w:left="0" w:right="0" w:hanging="0"/>
              <w:jc w:val="right"/>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17/12/2024</w:t>
            </w:r>
          </w:p>
        </w:tc>
        <w:tc>
          <w:tcPr>
            <w:tcW w:w="1815"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592</w:t>
            </w:r>
          </w:p>
        </w:tc>
        <w:tc>
          <w:tcPr>
            <w:tcW w:w="171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314</w:t>
            </w:r>
          </w:p>
        </w:tc>
        <w:tc>
          <w:tcPr>
            <w:tcW w:w="1530" w:type="dxa"/>
            <w:tcBorders/>
            <w:tcMar>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8</w:t>
            </w:r>
          </w:p>
        </w:tc>
      </w:tr>
      <w:tr>
        <w:trPr>
          <w:trHeight w:val="286" w:hRule="atLeast"/>
        </w:trPr>
        <w:tc>
          <w:tcPr>
            <w:tcW w:w="845" w:type="dxa"/>
            <w:tcBorders>
              <w:top w:val="single" w:sz="4" w:space="0" w:color="95B3D7"/>
            </w:tcBorders>
            <w:shd w:fill="DCE6F1" w:val="clear"/>
            <w:tcMar>
              <w:top w:w="28" w:type="dxa"/>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Total General</w:t>
            </w:r>
          </w:p>
        </w:tc>
        <w:tc>
          <w:tcPr>
            <w:tcW w:w="2275" w:type="dxa"/>
            <w:tcBorders>
              <w:top w:val="single" w:sz="4" w:space="0" w:color="95B3D7"/>
            </w:tcBorders>
            <w:shd w:fill="DCE6F1" w:val="clear"/>
            <w:tcMar>
              <w:top w:w="28" w:type="dxa"/>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125" w:type="dxa"/>
            <w:tcBorders>
              <w:top w:val="single" w:sz="4" w:space="0" w:color="95B3D7"/>
            </w:tcBorders>
            <w:shd w:fill="DCE6F1" w:val="clear"/>
            <w:tcMar>
              <w:top w:w="28" w:type="dxa"/>
              <w:bottom w:w="0" w:type="dxa"/>
            </w:tcMar>
            <w:vAlign w:val="center"/>
          </w:tcPr>
          <w:p>
            <w:pPr>
              <w:pStyle w:val="Contenidodelatabla"/>
              <w:ind w:left="0" w:right="0" w:hanging="0"/>
              <w:rPr>
                <w:rFonts w:ascii="Arial" w:hAnsi="Arial"/>
                <w:b w:val="false"/>
                <w:b w:val="false"/>
                <w:bCs w:val="false"/>
                <w:sz w:val="18"/>
                <w:szCs w:val="18"/>
              </w:rPr>
            </w:pPr>
            <w:r>
              <w:rPr>
                <w:rFonts w:ascii="Arial" w:hAnsi="Arial"/>
                <w:b w:val="false"/>
                <w:bCs w:val="false"/>
                <w:sz w:val="18"/>
                <w:szCs w:val="18"/>
              </w:rPr>
            </w:r>
          </w:p>
        </w:tc>
        <w:tc>
          <w:tcPr>
            <w:tcW w:w="1815" w:type="dxa"/>
            <w:tcBorders>
              <w:top w:val="single" w:sz="4" w:space="0" w:color="95B3D7"/>
            </w:tcBorders>
            <w:shd w:fill="DCE6F1" w:val="clear"/>
            <w:tcMar>
              <w:top w:w="28" w:type="dxa"/>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10014</w:t>
            </w:r>
          </w:p>
        </w:tc>
        <w:tc>
          <w:tcPr>
            <w:tcW w:w="1710" w:type="dxa"/>
            <w:tcBorders>
              <w:top w:val="single" w:sz="4" w:space="0" w:color="95B3D7"/>
            </w:tcBorders>
            <w:shd w:fill="DCE6F1" w:val="clear"/>
            <w:tcMar>
              <w:top w:w="28" w:type="dxa"/>
              <w:bottom w:w="0" w:type="dxa"/>
            </w:tcMar>
            <w:vAlign w:val="center"/>
          </w:tcPr>
          <w:p>
            <w:pPr>
              <w:pStyle w:val="Contenidodelatabla"/>
              <w:spacing w:before="0" w:after="0"/>
              <w:ind w:left="0" w:right="0" w:hanging="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4837</w:t>
            </w:r>
          </w:p>
        </w:tc>
        <w:tc>
          <w:tcPr>
            <w:tcW w:w="1530" w:type="dxa"/>
            <w:tcBorders>
              <w:top w:val="single" w:sz="4" w:space="0" w:color="95B3D7"/>
            </w:tcBorders>
            <w:shd w:fill="DCE6F1" w:val="clear"/>
            <w:tcMar>
              <w:top w:w="28" w:type="dxa"/>
              <w:bottom w:w="0" w:type="dxa"/>
            </w:tcMar>
            <w:vAlign w:val="center"/>
          </w:tcPr>
          <w:p>
            <w:pPr>
              <w:pStyle w:val="Contenidodelatabla"/>
              <w:spacing w:before="0" w:after="0"/>
              <w:jc w:val="center"/>
              <w:rPr>
                <w:rFonts w:ascii="Arial" w:hAnsi="Arial"/>
                <w:b w:val="false"/>
                <w:b w:val="false"/>
                <w:bCs w:val="false"/>
                <w:i w:val="false"/>
                <w:caps w:val="false"/>
                <w:smallCaps w:val="false"/>
                <w:strike w:val="false"/>
                <w:dstrike w:val="false"/>
                <w:color w:val="000000"/>
                <w:sz w:val="18"/>
                <w:szCs w:val="18"/>
                <w:u w:val="none"/>
                <w:effect w:val="none"/>
              </w:rPr>
            </w:pPr>
            <w:r>
              <w:rPr>
                <w:rFonts w:ascii="Arial" w:hAnsi="Arial"/>
                <w:b w:val="false"/>
                <w:bCs w:val="false"/>
                <w:i w:val="false"/>
                <w:caps w:val="false"/>
                <w:smallCaps w:val="false"/>
                <w:strike w:val="false"/>
                <w:dstrike w:val="false"/>
                <w:color w:val="000000"/>
                <w:sz w:val="18"/>
                <w:szCs w:val="18"/>
                <w:u w:val="none"/>
                <w:effect w:val="none"/>
              </w:rPr>
              <w:t>207</w:t>
            </w:r>
          </w:p>
        </w:tc>
      </w:tr>
    </w:tbl>
    <w:p>
      <w:pPr>
        <w:pStyle w:val="Cuerpodetexto"/>
        <w:spacing w:before="0" w:after="0"/>
        <w:jc w:val="both"/>
        <w:rPr>
          <w:rFonts w:ascii="Arial" w:hAnsi="Arial" w:cs="Arial"/>
          <w:lang w:val="es-ES"/>
        </w:rPr>
      </w:pPr>
      <w:r>
        <w:rPr>
          <w:rFonts w:cs="Arial" w:ascii="Arial" w:hAnsi="Arial"/>
          <w:lang w:val="es-ES"/>
        </w:rPr>
      </w:r>
    </w:p>
    <w:p>
      <w:pPr>
        <w:pStyle w:val="NormalWeb"/>
        <w:numPr>
          <w:ilvl w:val="0"/>
          <w:numId w:val="1"/>
        </w:numPr>
        <w:spacing w:before="0" w:after="0"/>
        <w:jc w:val="both"/>
        <w:rPr>
          <w:rFonts w:ascii="Arial" w:hAnsi="Arial" w:cs="Arial"/>
          <w:lang w:val="es-ES"/>
        </w:rPr>
      </w:pPr>
      <w:r>
        <w:rPr>
          <w:rFonts w:cs="Arial" w:ascii="Arial" w:hAnsi="Arial"/>
        </w:rPr>
        <w:t>¿Cuál ha sido el perfil epidemiológico del dengue, para lo que va corrido del año 2.024?</w:t>
      </w:r>
    </w:p>
    <w:p>
      <w:pPr>
        <w:pStyle w:val="NormalWeb"/>
        <w:spacing w:before="0" w:after="0"/>
        <w:jc w:val="both"/>
        <w:rPr>
          <w:rFonts w:ascii="Arial" w:hAnsi="Arial" w:cs="Arial"/>
        </w:rPr>
      </w:pPr>
      <w:r>
        <w:rPr>
          <w:rFonts w:cs="Arial" w:ascii="Arial" w:hAnsi="Arial"/>
        </w:rPr>
      </w:r>
    </w:p>
    <w:p>
      <w:pPr>
        <w:pStyle w:val="NormalWeb"/>
        <w:spacing w:before="0" w:after="0"/>
        <w:jc w:val="both"/>
        <w:rPr>
          <w:rFonts w:ascii="Arial" w:hAnsi="Arial" w:cs="Arial"/>
        </w:rPr>
      </w:pPr>
      <w:r>
        <w:rPr>
          <w:rFonts w:cs="Arial" w:ascii="Arial" w:hAnsi="Arial"/>
        </w:rPr>
        <w:t xml:space="preserve">El panorama nacional de dengue en 2024 cerró con el Valle del Cauca registrando una alta incidencia, seguido por los departamentos de Huila, Vaupés, Tolima, Cundinamarca y la ciudad de Cali. </w:t>
      </w:r>
    </w:p>
    <w:p>
      <w:pPr>
        <w:pStyle w:val="NormalWeb"/>
        <w:spacing w:before="0" w:after="0"/>
        <w:jc w:val="both"/>
        <w:rPr>
          <w:rFonts w:ascii="Arial" w:hAnsi="Arial" w:cs="Arial"/>
        </w:rPr>
      </w:pPr>
      <w:r>
        <w:rPr>
          <w:rFonts w:cs="Arial" w:ascii="Arial" w:hAnsi="Arial"/>
        </w:rPr>
      </w:r>
    </w:p>
    <w:p>
      <w:pPr>
        <w:pStyle w:val="NormalWeb"/>
        <w:spacing w:before="0" w:after="0"/>
        <w:jc w:val="both"/>
        <w:rPr>
          <w:rFonts w:ascii="Arial" w:hAnsi="Arial" w:cs="Arial"/>
        </w:rPr>
      </w:pPr>
      <w:r>
        <w:rPr>
          <w:rFonts w:cs="Arial" w:ascii="Arial" w:hAnsi="Arial"/>
        </w:rPr>
        <w:t>El total de casos acumulados en Santiago de Cali durante 2024 fue de 36.934, con variaciones significativas en semanas específicas como la 2, 3, 5, 6, 18, 47 y 49, que mostraron aumentos en el número de casos reportados. Cali se posicionó como uno de los distritos con mayor número de casos de dengue grave, superando a ciudades como Medellín, Bucaramanga y Armenia. Sin embargo, a pesar del incremento en el número de casos, la ciudad logró mantener bajo control la letalidad general por dengue y dengue grave durante el año. En cuanto a los casos confirmados, el 100% de los casos de dengue grave recibieron atención hospitalaria, lo que destaca la capacidad de respuesta del sistema de salud de la ciudad. Los grupos de edad más afectados durante 2024 fueron los de 5 a 9 años, 10 a 14 años y 15 a 19 años, respectivamente. Finalmente, la distribución espacial de los casos evidenció que algunas zonas de Cali presentan un mayor riesgo de incidencia, asociado a factores socioambientales y la acumulación de agua en recipientes y la densidad poblacional.</w:t>
      </w:r>
    </w:p>
    <w:p>
      <w:pPr>
        <w:pStyle w:val="NormalWeb"/>
        <w:spacing w:before="0" w:after="0"/>
        <w:jc w:val="both"/>
        <w:rPr>
          <w:rFonts w:ascii="Arial" w:hAnsi="Arial" w:cs="Arial"/>
        </w:rPr>
      </w:pPr>
      <w:r>
        <w:rPr>
          <w:rFonts w:cs="Arial" w:ascii="Arial" w:hAnsi="Arial"/>
        </w:rPr>
      </w:r>
    </w:p>
    <w:p>
      <w:pPr>
        <w:pStyle w:val="NormalWeb"/>
        <w:spacing w:before="0" w:after="0"/>
        <w:jc w:val="both"/>
        <w:rPr>
          <w:rFonts w:ascii="Arial" w:hAnsi="Arial" w:cs="Arial"/>
        </w:rPr>
      </w:pPr>
      <w:r>
        <w:rPr>
          <w:rFonts w:cs="Arial" w:ascii="Arial" w:hAnsi="Arial"/>
        </w:rPr>
        <w:t>En el distrito de Cali, el comportamiento epidemiológico al finalizar la semana 52 reportó un total de 179 casos de dengue. De estos, el 63,6% correspondieron a dengue sin signos de alarma, el 35,5% a dengue con signos de alarma y el 0,9% a dengue grave. La mortalidad acumulada alcanzó los 15 casos, con una tasa de 0,66 por cada 100.000 habitantes. La letalidad total en Santiago de Cali fue de 0,04%, mientras que la letalidad específica por dengue grave fue del 4,34%, en comparación con el promedio nacional de 7,56%.</w:t>
      </w:r>
    </w:p>
    <w:p>
      <w:pPr>
        <w:pStyle w:val="NormalWeb"/>
        <w:spacing w:before="0" w:after="0"/>
        <w:jc w:val="both"/>
        <w:rPr>
          <w:rFonts w:ascii="Arial" w:hAnsi="Arial" w:cs="Arial"/>
        </w:rPr>
      </w:pPr>
      <w:r>
        <w:rPr>
          <w:rFonts w:cs="Arial" w:ascii="Arial" w:hAnsi="Arial"/>
        </w:rPr>
      </w:r>
    </w:p>
    <w:p>
      <w:pPr>
        <w:pStyle w:val="NormalWeb"/>
        <w:numPr>
          <w:ilvl w:val="0"/>
          <w:numId w:val="1"/>
        </w:numPr>
        <w:spacing w:before="0" w:after="0"/>
        <w:jc w:val="both"/>
        <w:rPr>
          <w:rFonts w:ascii="Arial" w:hAnsi="Arial" w:cs="Arial"/>
          <w:lang w:val="es-ES"/>
        </w:rPr>
      </w:pPr>
      <w:r>
        <w:rPr>
          <w:rFonts w:cs="Arial" w:ascii="Arial" w:hAnsi="Arial"/>
        </w:rPr>
        <w:t>Así mismo solicitará copia del COVE, respecto del fallecimiento de la menor SALOME SOLARTE CRIOLLO, ocurrido en la FUNDACION CLINICA INFANTIL CLUB NOEL, causado por infección por DENGUE, el 2 de junio de 2.024.</w:t>
      </w:r>
    </w:p>
    <w:p>
      <w:pPr>
        <w:pStyle w:val="NormalWeb"/>
        <w:spacing w:before="0" w:after="0"/>
        <w:ind w:left="720" w:hanging="0"/>
        <w:jc w:val="both"/>
        <w:rPr>
          <w:rFonts w:ascii="Arial" w:hAnsi="Arial" w:cs="Arial"/>
          <w:lang w:val="es-ES"/>
        </w:rPr>
      </w:pPr>
      <w:r>
        <w:rPr>
          <w:rFonts w:cs="Arial" w:ascii="Arial" w:hAnsi="Arial"/>
          <w:lang w:val="es-ES"/>
        </w:rPr>
      </w:r>
    </w:p>
    <w:p>
      <w:pPr>
        <w:pStyle w:val="NormalWeb"/>
        <w:spacing w:before="0" w:after="0"/>
        <w:jc w:val="both"/>
        <w:rPr>
          <w:rFonts w:ascii="Arial" w:hAnsi="Arial" w:cs="Arial"/>
          <w:lang w:val="es-ES"/>
        </w:rPr>
      </w:pPr>
      <w:r>
        <w:rPr>
          <w:rFonts w:cs="Arial" w:ascii="Arial" w:hAnsi="Arial"/>
          <w:lang w:val="es-ES"/>
        </w:rPr>
        <w:t xml:space="preserve">Salomé Solarte Criollo, de 9 años, residente en Cali y afiliada a Sura, ingresó el 12 de diciembre de 2024. Falleció tras presentar un cuadro compatible con dengue con signos de alarma, confirmado por pruebas virológicas (IgM y NS1 positivos) y con sospecha de anemia de células falciformes como causa básica, pendiente de confirmación por estudios del INS. La causa directa de la muerte fue síndrome de dificultad respiratoria aguda y choque hipovolémico, con dengue y una crisis drepanocítica como causa intermedia. Actualmente no se cuenta con informe de patología el cual podría aportar mayor información respecto al caso. </w:t>
      </w:r>
    </w:p>
    <w:p>
      <w:pPr>
        <w:pStyle w:val="NormalWeb"/>
        <w:spacing w:before="0" w:after="0"/>
        <w:jc w:val="both"/>
        <w:rPr>
          <w:rFonts w:ascii="Arial" w:hAnsi="Arial" w:cs="Arial"/>
          <w:lang w:val="es-ES"/>
        </w:rPr>
      </w:pPr>
      <w:r>
        <w:rPr>
          <w:rFonts w:cs="Arial" w:ascii="Arial" w:hAnsi="Arial"/>
          <w:lang w:val="es-ES"/>
        </w:rPr>
      </w:r>
    </w:p>
    <w:p>
      <w:pPr>
        <w:pStyle w:val="NormalWeb"/>
        <w:spacing w:before="0" w:after="0"/>
        <w:rPr>
          <w:rFonts w:ascii="Arial" w:hAnsi="Arial" w:cs="Arial"/>
          <w:sz w:val="18"/>
          <w:szCs w:val="18"/>
          <w:lang w:val="es-ES"/>
        </w:rPr>
      </w:pPr>
      <w:r>
        <w:rPr>
          <w:rFonts w:cs="Arial" w:ascii="Arial" w:hAnsi="Arial"/>
          <w:sz w:val="18"/>
          <w:szCs w:val="18"/>
          <w:lang w:val="es-ES"/>
        </w:rPr>
      </w:r>
    </w:p>
    <w:p>
      <w:pPr>
        <w:pStyle w:val="NormalWeb"/>
        <w:spacing w:before="0" w:after="0"/>
        <w:rPr>
          <w:rFonts w:ascii="Arial" w:hAnsi="Arial" w:cs="Arial"/>
          <w:lang w:val="es-ES"/>
        </w:rPr>
      </w:pPr>
      <w:r>
        <w:rPr>
          <w:rFonts w:cs="Arial" w:ascii="Arial" w:hAnsi="Arial"/>
          <w:lang w:val="es-ES"/>
        </w:rPr>
        <w:t>Agradecemos su comprensión y colaboración.</w:t>
      </w:r>
    </w:p>
    <w:p>
      <w:pPr>
        <w:pStyle w:val="Normal"/>
        <w:jc w:val="both"/>
        <w:rPr>
          <w:rFonts w:ascii="Arial" w:hAnsi="Arial" w:cs="Arial"/>
          <w:color w:val="000000"/>
        </w:rPr>
      </w:pPr>
      <w:r>
        <w:rPr>
          <w:rFonts w:cs="Arial" w:ascii="Arial" w:hAnsi="Arial"/>
          <w:color w:val="000000"/>
        </w:rPr>
      </w:r>
    </w:p>
    <w:p>
      <w:pPr>
        <w:pStyle w:val="Normal"/>
        <w:jc w:val="both"/>
        <w:rPr>
          <w:rFonts w:ascii="Arial" w:hAnsi="Arial" w:cs="Arial"/>
          <w:color w:val="000000"/>
        </w:rPr>
      </w:pPr>
      <w:r>
        <w:rPr>
          <w:rFonts w:cs="Arial" w:ascii="Arial" w:hAnsi="Arial"/>
          <w:color w:val="000000"/>
        </w:rPr>
        <w:t>Atentamente,</w:t>
      </w:r>
    </w:p>
    <w:p>
      <w:pPr>
        <w:pStyle w:val="Normal"/>
        <w:jc w:val="both"/>
        <w:rPr>
          <w:rFonts w:ascii="Arial" w:hAnsi="Arial" w:cs="Arial"/>
          <w:color w:val="000000"/>
        </w:rPr>
      </w:pPr>
      <w:r>
        <w:rPr>
          <w:rFonts w:cs="Arial" w:ascii="Arial" w:hAnsi="Arial"/>
          <w:color w:val="000000"/>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NOMBRE DEL REMITENTE</w:t>
      </w:r>
    </w:p>
    <w:p>
      <w:pPr>
        <w:pStyle w:val="Normal"/>
        <w:jc w:val="both"/>
        <w:rPr>
          <w:rFonts w:ascii="Arial" w:hAnsi="Arial" w:cs="Arial"/>
          <w:lang w:val="es-ES"/>
        </w:rPr>
      </w:pPr>
      <w:r>
        <w:rPr>
          <w:rFonts w:cs="Arial" w:ascii="Arial" w:hAnsi="Arial"/>
        </w:rPr>
        <w:t>Cargo</w:t>
      </w:r>
    </w:p>
    <w:p>
      <w:pPr>
        <w:pStyle w:val="NormalWeb"/>
        <w:spacing w:before="0" w:after="0"/>
        <w:rPr>
          <w:rFonts w:ascii="Arial" w:hAnsi="Arial" w:cs="Arial"/>
        </w:rPr>
      </w:pPr>
      <w:r>
        <w:rPr>
          <w:rFonts w:cs="Arial" w:ascii="Arial" w:hAnsi="Arial"/>
          <w:lang w:val="es-ES"/>
        </w:rPr>
        <w:t>Organismo/Dependencia</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sz w:val="16"/>
          <w:szCs w:val="16"/>
        </w:rPr>
        <w:t xml:space="preserve">Anexos: </w:t>
      </w:r>
      <w:r>
        <w:rPr>
          <w:rFonts w:cs="Arial" w:ascii="Arial" w:hAnsi="Arial"/>
          <w:sz w:val="16"/>
          <w:szCs w:val="16"/>
          <w:lang w:val="es-ES"/>
        </w:rPr>
        <w:t xml:space="preserve">(opcional - Indicando formato y cantidad de folios) </w:t>
      </w:r>
    </w:p>
    <w:p>
      <w:pPr>
        <w:pStyle w:val="Normal"/>
        <w:rPr>
          <w:rFonts w:ascii="Arial" w:hAnsi="Arial" w:cs="Arial"/>
        </w:rPr>
      </w:pPr>
      <w:r>
        <w:rPr>
          <w:rFonts w:cs="Arial" w:ascii="Arial" w:hAnsi="Arial"/>
        </w:rPr>
      </w:r>
    </w:p>
    <w:p>
      <w:pPr>
        <w:pStyle w:val="Normal"/>
        <w:rPr>
          <w:rFonts w:ascii="Arial" w:hAnsi="Arial" w:cs="Arial"/>
          <w:sz w:val="16"/>
          <w:szCs w:val="16"/>
        </w:rPr>
      </w:pPr>
      <w:r>
        <w:rPr>
          <w:rFonts w:cs="Arial" w:ascii="Arial" w:hAnsi="Arial"/>
          <w:sz w:val="16"/>
          <w:szCs w:val="16"/>
          <w:lang w:val="es-ES"/>
        </w:rPr>
        <w:t>CC</w:t>
      </w:r>
      <w:r>
        <w:rPr>
          <w:rFonts w:cs="Arial" w:ascii="Arial" w:hAnsi="Arial"/>
          <w:sz w:val="16"/>
          <w:szCs w:val="16"/>
        </w:rPr>
        <w:t>. Nombre - Cargo</w:t>
      </w:r>
    </w:p>
    <w:p>
      <w:pPr>
        <w:pStyle w:val="NormalWeb"/>
        <w:spacing w:before="0" w:after="0"/>
        <w:rPr>
          <w:rFonts w:ascii="Arial" w:hAnsi="Arial" w:cs="Arial"/>
          <w:sz w:val="16"/>
          <w:szCs w:val="16"/>
          <w:lang w:val="es-ES"/>
        </w:rPr>
      </w:pPr>
      <w:r>
        <w:rPr>
          <w:rFonts w:cs="Arial" w:ascii="Arial" w:hAnsi="Arial"/>
          <w:sz w:val="16"/>
          <w:szCs w:val="16"/>
          <w:lang w:val="es-ES"/>
        </w:rPr>
        <w:t>Proyectó: Julian Andres Pelaez Freire- Contratista</w:t>
      </w:r>
    </w:p>
    <w:p>
      <w:pPr>
        <w:pStyle w:val="NormalWeb"/>
        <w:spacing w:before="0" w:after="0"/>
        <w:rPr>
          <w:rFonts w:ascii="Arial" w:hAnsi="Arial" w:cs="Arial"/>
          <w:sz w:val="16"/>
          <w:szCs w:val="16"/>
          <w:lang w:val="es-ES"/>
        </w:rPr>
      </w:pPr>
      <w:r>
        <w:rPr>
          <w:rFonts w:cs="Arial" w:ascii="Arial" w:hAnsi="Arial"/>
          <w:sz w:val="16"/>
          <w:szCs w:val="16"/>
          <w:lang w:val="es-ES"/>
        </w:rPr>
        <w:t>Elaboró: Julian Andres Pelaez Freire- Contratista</w:t>
      </w:r>
    </w:p>
    <w:p>
      <w:pPr>
        <w:pStyle w:val="NormalWeb"/>
        <w:spacing w:before="0" w:after="0"/>
        <w:rPr>
          <w:lang w:val="es-ES"/>
        </w:rPr>
      </w:pPr>
      <w:r>
        <w:rPr>
          <w:rFonts w:cs="Arial" w:ascii="Arial" w:hAnsi="Arial"/>
          <w:sz w:val="16"/>
          <w:szCs w:val="16"/>
          <w:lang w:val="es-ES"/>
        </w:rPr>
        <w:t>Revisó: Marcela Diaz Rivadeneira-Contratista</w:t>
      </w:r>
    </w:p>
    <w:p>
      <w:pPr>
        <w:pStyle w:val="NormalWeb"/>
        <w:spacing w:before="0" w:after="0"/>
        <w:rPr>
          <w:lang w:val="es-ES"/>
        </w:rPr>
      </w:pPr>
      <w:r>
        <w:rPr>
          <w:lang w:val="es-ES"/>
        </w:rPr>
      </w:r>
    </w:p>
    <w:p>
      <w:pPr>
        <w:pStyle w:val="NormalWeb"/>
        <w:suppressAutoHyphens w:val="true"/>
        <w:spacing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hyperlink r:id="rId4" w:tgtFrame="_blank">
        <w:r>
          <w:drawing>
            <wp:anchor behindDoc="0" distT="0" distB="0" distL="0" distR="0" simplePos="0" locked="0" layoutInCell="0" allowOverlap="1" relativeHeight="18">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r>
          <w:rPr>
            <w:rStyle w:val="EnlacedeInternet"/>
            <w:rFonts w:cs="Arial" w:ascii="Arial" w:hAnsi="Arial"/>
            <w:color w:val="FFFFFF"/>
            <w:sz w:val="16"/>
            <w:szCs w:val="16"/>
            <w:shd w:fill="FFFFFF" w:val="clear"/>
          </w:rPr>
          <w:t>h</w:t>
        </w:r>
        <w:r>
          <w:rPr>
            <w:rStyle w:val="EnlacedeInternet"/>
            <w:rFonts w:cs="Arial" w:ascii="Arial" w:hAnsi="Arial"/>
            <w:color w:val="FFFFFF"/>
            <w:sz w:val="16"/>
            <w:szCs w:val="16"/>
            <w:shd w:fill="FFFFFF" w:val="clear"/>
          </w:rPr>
          <w:t>ttp://www.cali.gov.co/aplicaciones/encuestas_ciudadano/view_encuesta_satisfaccion.php</w:t>
        </w:r>
      </w:hyperlink>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 w:name="Courier New">
    <w:charset w:val="01"/>
    <w:family w:val="modern"/>
    <w:pitch w:val="fixed"/>
  </w:font>
  <w:font w:name="Wingdings">
    <w:charset w:val="02"/>
    <w:family w:val="auto"/>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5" wp14:anchorId="35C5AF76">
              <wp:simplePos x="0" y="0"/>
              <wp:positionH relativeFrom="column">
                <wp:posOffset>6985</wp:posOffset>
              </wp:positionH>
              <wp:positionV relativeFrom="paragraph">
                <wp:posOffset>7265035</wp:posOffset>
              </wp:positionV>
              <wp:extent cx="1042670" cy="508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200" cy="43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pt;height:0.3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10">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7">
              <wp:simplePos x="0" y="0"/>
              <wp:positionH relativeFrom="margin">
                <wp:posOffset>3402965</wp:posOffset>
              </wp:positionH>
              <wp:positionV relativeFrom="paragraph">
                <wp:posOffset>33020</wp:posOffset>
              </wp:positionV>
              <wp:extent cx="2529840" cy="1021080"/>
              <wp:effectExtent l="0" t="0" r="0" b="0"/>
              <wp:wrapSquare wrapText="bothSides"/>
              <wp:docPr id="2" name="Marco2"/>
              <a:graphic xmlns:a="http://schemas.openxmlformats.org/drawingml/2006/main">
                <a:graphicData uri="http://schemas.microsoft.com/office/word/2010/wordprocessingShape">
                  <wps:wsp>
                    <wps:cNvSpPr/>
                    <wps:spPr>
                      <a:xfrm>
                        <a:off x="0" y="0"/>
                        <a:ext cx="2529360" cy="10206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pt;height:80.3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Vietas">
    <w:name w:val="Viñetas"/>
    <w:qFormat/>
    <w:rPr>
      <w:rFonts w:ascii="OpenSymbol" w:hAnsi="OpenSymbol" w:eastAsia="OpenSymbol" w:cs="OpenSymbol"/>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Application>LibreOffice/7.0.3.1$Windows_X86_64 LibreOffice_project/d7547858d014d4cf69878db179d326fc3483e082</Application>
  <Pages>4</Pages>
  <Words>953</Words>
  <Characters>5235</Characters>
  <CharactersWithSpaces>6068</CharactersWithSpaces>
  <Paragraphs>125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2025-01-28T19:05:10Z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